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E2F3"/>
        <w:tblLook w:val="01E0" w:firstRow="1" w:lastRow="1" w:firstColumn="1" w:lastColumn="1" w:noHBand="0" w:noVBand="0"/>
      </w:tblPr>
      <w:tblGrid>
        <w:gridCol w:w="937"/>
        <w:gridCol w:w="843"/>
        <w:gridCol w:w="1112"/>
        <w:gridCol w:w="6827"/>
      </w:tblGrid>
      <w:tr w:rsidR="00343744" w:rsidRPr="005A0475" w14:paraId="36B0628C" w14:textId="77777777" w:rsidTr="00343744">
        <w:trPr>
          <w:trHeight w:val="1120"/>
        </w:trPr>
        <w:tc>
          <w:tcPr>
            <w:tcW w:w="636" w:type="dxa"/>
            <w:shd w:val="clear" w:color="auto" w:fill="D9E2F3"/>
            <w:vAlign w:val="center"/>
          </w:tcPr>
          <w:p w14:paraId="57A6FE68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szCs w:val="24"/>
                <w:lang w:eastAsia="it-IT"/>
              </w:rPr>
              <w:t>Comp. Nucleo</w:t>
            </w:r>
          </w:p>
        </w:tc>
        <w:tc>
          <w:tcPr>
            <w:tcW w:w="762" w:type="dxa"/>
            <w:shd w:val="clear" w:color="auto" w:fill="D9E2F3"/>
            <w:vAlign w:val="center"/>
          </w:tcPr>
          <w:p w14:paraId="3C7AB6AB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szCs w:val="24"/>
                <w:lang w:eastAsia="it-IT"/>
              </w:rPr>
              <w:t>Quota fissa €/mq</w:t>
            </w:r>
          </w:p>
        </w:tc>
        <w:tc>
          <w:tcPr>
            <w:tcW w:w="786" w:type="dxa"/>
            <w:shd w:val="clear" w:color="auto" w:fill="D9E2F3"/>
            <w:vAlign w:val="center"/>
          </w:tcPr>
          <w:p w14:paraId="4ABEA49F" w14:textId="77777777" w:rsidR="00343744" w:rsidRPr="005A0475" w:rsidRDefault="00343744" w:rsidP="00772C81">
            <w:pPr>
              <w:tabs>
                <w:tab w:val="left" w:pos="601"/>
              </w:tabs>
              <w:spacing w:after="0" w:line="240" w:lineRule="auto"/>
              <w:ind w:right="-108"/>
              <w:rPr>
                <w:rFonts w:eastAsia="Times New Roman"/>
                <w:b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szCs w:val="24"/>
                <w:lang w:eastAsia="it-IT"/>
              </w:rPr>
              <w:t>Quota variabile €/anno</w:t>
            </w:r>
          </w:p>
        </w:tc>
        <w:tc>
          <w:tcPr>
            <w:tcW w:w="7535" w:type="dxa"/>
            <w:shd w:val="clear" w:color="auto" w:fill="D9E2F3"/>
            <w:vAlign w:val="center"/>
          </w:tcPr>
          <w:p w14:paraId="0EBE5430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szCs w:val="24"/>
                <w:lang w:eastAsia="it-IT"/>
              </w:rPr>
              <w:t>Esempio</w:t>
            </w:r>
          </w:p>
        </w:tc>
      </w:tr>
      <w:tr w:rsidR="00343744" w:rsidRPr="005A0475" w14:paraId="3633B598" w14:textId="77777777" w:rsidTr="00343744">
        <w:trPr>
          <w:trHeight w:val="349"/>
        </w:trPr>
        <w:tc>
          <w:tcPr>
            <w:tcW w:w="636" w:type="dxa"/>
            <w:shd w:val="clear" w:color="auto" w:fill="D9E2F3"/>
            <w:vAlign w:val="center"/>
          </w:tcPr>
          <w:p w14:paraId="27C155AD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3F0085E5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121D76F0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117,37</w:t>
            </w:r>
          </w:p>
        </w:tc>
        <w:tc>
          <w:tcPr>
            <w:tcW w:w="7535" w:type="dxa"/>
            <w:vMerge w:val="restart"/>
            <w:shd w:val="clear" w:color="auto" w:fill="D9E2F3"/>
          </w:tcPr>
          <w:p w14:paraId="0F689960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L’ammontare dovuto si ottiene dalla somma della quota fissa + la quota variabile ove:</w:t>
            </w:r>
          </w:p>
          <w:p w14:paraId="3AD0B697" w14:textId="77777777" w:rsidR="00343744" w:rsidRPr="005A0475" w:rsidRDefault="00343744" w:rsidP="00343744">
            <w:pPr>
              <w:widowControl w:val="0"/>
              <w:numPr>
                <w:ilvl w:val="0"/>
                <w:numId w:val="1"/>
              </w:numPr>
              <w:tabs>
                <w:tab w:val="clear" w:pos="0"/>
                <w:tab w:val="num" w:pos="436"/>
                <w:tab w:val="num" w:pos="862"/>
                <w:tab w:val="left" w:pos="650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295" w:hanging="142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- La Quota fissa si applica alla superficie dell’alloggio e dei locali che ne costituiscono la relativa pertinenza, sulla base delle tariffe fissate per unità di superficie in relazione al numero degli occupanti;</w:t>
            </w:r>
          </w:p>
          <w:p w14:paraId="73F999F7" w14:textId="77777777" w:rsidR="00343744" w:rsidRPr="005A0475" w:rsidRDefault="00343744" w:rsidP="00343744">
            <w:pPr>
              <w:widowControl w:val="0"/>
              <w:numPr>
                <w:ilvl w:val="0"/>
                <w:numId w:val="1"/>
              </w:numPr>
              <w:tabs>
                <w:tab w:val="clear" w:pos="0"/>
                <w:tab w:val="num" w:pos="436"/>
                <w:tab w:val="num" w:pos="862"/>
                <w:tab w:val="left" w:pos="650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295" w:hanging="142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 xml:space="preserve">- La Quota variabile è determinata in relazione al numero degli occupanti. La pertinenza ha la sola quota fissa in quanto la quota variabile è già </w:t>
            </w:r>
            <w:proofErr w:type="spellStart"/>
            <w:r w:rsidRPr="005A0475">
              <w:rPr>
                <w:rFonts w:eastAsia="Times New Roman"/>
                <w:szCs w:val="24"/>
                <w:lang w:eastAsia="it-IT"/>
              </w:rPr>
              <w:t>inclusa</w:t>
            </w:r>
            <w:proofErr w:type="spellEnd"/>
            <w:r w:rsidRPr="005A0475">
              <w:rPr>
                <w:rFonts w:eastAsia="Times New Roman"/>
                <w:szCs w:val="24"/>
                <w:lang w:eastAsia="it-IT"/>
              </w:rPr>
              <w:t xml:space="preserve"> nell’abitazione di riferimento.</w:t>
            </w:r>
          </w:p>
          <w:p w14:paraId="49949423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</w:p>
          <w:p w14:paraId="6403E2D9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>Esempio: famiglia di 5 componenti con abitazione di 100 mq e pertinenza di mq. 30</w:t>
            </w:r>
          </w:p>
          <w:p w14:paraId="04227A66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ind w:left="98" w:right="168" w:hanging="131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  Abitazione: 0,76 * 100 + 340,39 = 416,39    Pertinenza: 0,76 * 30 = € 22,8</w:t>
            </w:r>
          </w:p>
          <w:p w14:paraId="39BE4D2F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ind w:left="-131" w:firstLine="98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 Totale: € 439,19</w:t>
            </w:r>
          </w:p>
          <w:p w14:paraId="54A3CB68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ind w:left="-131" w:firstLine="98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 Tributo provinciale: 439,19 * 5% = 21,95   </w:t>
            </w:r>
          </w:p>
          <w:p w14:paraId="2ABF2BA0" w14:textId="77777777" w:rsidR="00343744" w:rsidRPr="005A0475" w:rsidRDefault="00343744" w:rsidP="00772C81">
            <w:pPr>
              <w:widowControl w:val="0"/>
              <w:tabs>
                <w:tab w:val="left" w:pos="6500"/>
              </w:tabs>
              <w:autoSpaceDE w:val="0"/>
              <w:autoSpaceDN w:val="0"/>
              <w:adjustRightInd w:val="0"/>
              <w:spacing w:after="0" w:line="240" w:lineRule="auto"/>
              <w:ind w:left="-43" w:firstLine="98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>Totale complessivo: € 461,15</w:t>
            </w:r>
          </w:p>
          <w:p w14:paraId="02F9609C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</w:p>
          <w:p w14:paraId="33FBFF17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>RIDUZIONE COMPOSTAGGIO (-30% sulla quota variabile):</w:t>
            </w:r>
          </w:p>
          <w:p w14:paraId="6575D498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1 COMP = – 35,21 euro </w:t>
            </w:r>
          </w:p>
          <w:p w14:paraId="7469C7BF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2 COMP = – 56,34 euro </w:t>
            </w:r>
          </w:p>
          <w:p w14:paraId="1920E63F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3 COMP = – 73,95 euro </w:t>
            </w:r>
          </w:p>
          <w:p w14:paraId="1E2DBC1B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4 COMP = – 77,46 euro </w:t>
            </w:r>
          </w:p>
          <w:p w14:paraId="5B961AA5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5 COMP = – 102,12 euro </w:t>
            </w:r>
          </w:p>
          <w:p w14:paraId="288906AE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  <w:r w:rsidRPr="005A0475">
              <w:rPr>
                <w:rFonts w:eastAsia="Times New Roman"/>
                <w:b/>
                <w:bCs/>
                <w:szCs w:val="24"/>
                <w:lang w:eastAsia="it-IT"/>
              </w:rPr>
              <w:t xml:space="preserve">6 o più COMP = – 119,72 euro </w:t>
            </w:r>
          </w:p>
          <w:p w14:paraId="2BD219C7" w14:textId="77777777" w:rsidR="00343744" w:rsidRPr="005A0475" w:rsidRDefault="00343744" w:rsidP="00772C81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it-IT"/>
              </w:rPr>
            </w:pPr>
          </w:p>
        </w:tc>
      </w:tr>
      <w:tr w:rsidR="00343744" w:rsidRPr="005A0475" w14:paraId="54F8E3C7" w14:textId="77777777" w:rsidTr="00343744">
        <w:trPr>
          <w:trHeight w:val="282"/>
        </w:trPr>
        <w:tc>
          <w:tcPr>
            <w:tcW w:w="636" w:type="dxa"/>
            <w:shd w:val="clear" w:color="auto" w:fill="D9E2F3"/>
            <w:vAlign w:val="center"/>
          </w:tcPr>
          <w:p w14:paraId="78CA5AF0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2</w:t>
            </w:r>
          </w:p>
        </w:tc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060F9769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1F30521E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187,8</w:t>
            </w:r>
          </w:p>
        </w:tc>
        <w:tc>
          <w:tcPr>
            <w:tcW w:w="7535" w:type="dxa"/>
            <w:vMerge/>
            <w:shd w:val="clear" w:color="auto" w:fill="D9E2F3"/>
          </w:tcPr>
          <w:p w14:paraId="1BCAFA81" w14:textId="77777777" w:rsidR="00343744" w:rsidRPr="005A0475" w:rsidRDefault="00343744" w:rsidP="00772C81">
            <w:pPr>
              <w:spacing w:after="0" w:line="236" w:lineRule="exact"/>
              <w:rPr>
                <w:rFonts w:eastAsia="Times New Roman" w:cs="Times"/>
                <w:b/>
                <w:bCs/>
                <w:color w:val="7030A0"/>
                <w:szCs w:val="24"/>
                <w:lang w:eastAsia="it-IT"/>
              </w:rPr>
            </w:pPr>
          </w:p>
        </w:tc>
      </w:tr>
      <w:tr w:rsidR="00343744" w:rsidRPr="005A0475" w14:paraId="56D353A6" w14:textId="77777777" w:rsidTr="00343744">
        <w:trPr>
          <w:trHeight w:val="280"/>
        </w:trPr>
        <w:tc>
          <w:tcPr>
            <w:tcW w:w="636" w:type="dxa"/>
            <w:shd w:val="clear" w:color="auto" w:fill="D9E2F3"/>
            <w:vAlign w:val="center"/>
          </w:tcPr>
          <w:p w14:paraId="6B473CFB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3</w:t>
            </w:r>
          </w:p>
        </w:tc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26FB5468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12E1F0ED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246,49</w:t>
            </w:r>
          </w:p>
        </w:tc>
        <w:tc>
          <w:tcPr>
            <w:tcW w:w="7535" w:type="dxa"/>
            <w:vMerge/>
            <w:shd w:val="clear" w:color="auto" w:fill="D9E2F3"/>
          </w:tcPr>
          <w:p w14:paraId="00E47118" w14:textId="77777777" w:rsidR="00343744" w:rsidRPr="005A0475" w:rsidRDefault="00343744" w:rsidP="00772C81">
            <w:pPr>
              <w:spacing w:after="0" w:line="236" w:lineRule="exact"/>
              <w:rPr>
                <w:rFonts w:eastAsia="Times New Roman" w:cs="Times"/>
                <w:b/>
                <w:bCs/>
                <w:color w:val="7030A0"/>
                <w:szCs w:val="24"/>
                <w:lang w:eastAsia="it-IT"/>
              </w:rPr>
            </w:pPr>
          </w:p>
        </w:tc>
      </w:tr>
      <w:tr w:rsidR="00343744" w:rsidRPr="005A0475" w14:paraId="518ED83D" w14:textId="77777777" w:rsidTr="00343744">
        <w:trPr>
          <w:trHeight w:val="312"/>
        </w:trPr>
        <w:tc>
          <w:tcPr>
            <w:tcW w:w="636" w:type="dxa"/>
            <w:shd w:val="clear" w:color="auto" w:fill="D9E2F3"/>
            <w:vAlign w:val="center"/>
          </w:tcPr>
          <w:p w14:paraId="043CEE69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4</w:t>
            </w:r>
          </w:p>
        </w:tc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3092EEB0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0FDBA6CA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258,22</w:t>
            </w:r>
          </w:p>
        </w:tc>
        <w:tc>
          <w:tcPr>
            <w:tcW w:w="7535" w:type="dxa"/>
            <w:vMerge/>
            <w:shd w:val="clear" w:color="auto" w:fill="D9E2F3"/>
          </w:tcPr>
          <w:p w14:paraId="789A467B" w14:textId="77777777" w:rsidR="00343744" w:rsidRPr="005A0475" w:rsidRDefault="00343744" w:rsidP="00772C81">
            <w:pPr>
              <w:spacing w:after="0" w:line="236" w:lineRule="exact"/>
              <w:rPr>
                <w:rFonts w:eastAsia="Times New Roman" w:cs="Times"/>
                <w:b/>
                <w:bCs/>
                <w:color w:val="7030A0"/>
                <w:szCs w:val="24"/>
                <w:lang w:eastAsia="it-IT"/>
              </w:rPr>
            </w:pPr>
          </w:p>
        </w:tc>
      </w:tr>
      <w:tr w:rsidR="00343744" w:rsidRPr="005A0475" w14:paraId="0BFBCA55" w14:textId="77777777" w:rsidTr="00343744">
        <w:trPr>
          <w:trHeight w:val="360"/>
        </w:trPr>
        <w:tc>
          <w:tcPr>
            <w:tcW w:w="636" w:type="dxa"/>
            <w:shd w:val="clear" w:color="auto" w:fill="D9E2F3"/>
            <w:vAlign w:val="center"/>
          </w:tcPr>
          <w:p w14:paraId="700A8A3A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5</w:t>
            </w:r>
          </w:p>
        </w:tc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5F65CCC1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5F6CE15A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340,39</w:t>
            </w:r>
          </w:p>
        </w:tc>
        <w:tc>
          <w:tcPr>
            <w:tcW w:w="7535" w:type="dxa"/>
            <w:vMerge/>
            <w:shd w:val="clear" w:color="auto" w:fill="D9E2F3"/>
          </w:tcPr>
          <w:p w14:paraId="6F0E2058" w14:textId="77777777" w:rsidR="00343744" w:rsidRPr="005A0475" w:rsidRDefault="00343744" w:rsidP="00772C81">
            <w:pPr>
              <w:spacing w:after="0" w:line="236" w:lineRule="exact"/>
              <w:rPr>
                <w:rFonts w:eastAsia="Times New Roman" w:cs="Times"/>
                <w:b/>
                <w:bCs/>
                <w:color w:val="7030A0"/>
                <w:szCs w:val="24"/>
                <w:lang w:eastAsia="it-IT"/>
              </w:rPr>
            </w:pPr>
          </w:p>
        </w:tc>
      </w:tr>
      <w:tr w:rsidR="00343744" w:rsidRPr="005A0475" w14:paraId="6F7DD379" w14:textId="77777777" w:rsidTr="00343744">
        <w:trPr>
          <w:trHeight w:val="394"/>
        </w:trPr>
        <w:tc>
          <w:tcPr>
            <w:tcW w:w="636" w:type="dxa"/>
            <w:shd w:val="clear" w:color="auto" w:fill="D9E2F3"/>
            <w:vAlign w:val="center"/>
          </w:tcPr>
          <w:p w14:paraId="558DC3D1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6</w:t>
            </w:r>
          </w:p>
          <w:p w14:paraId="3A9E17D2" w14:textId="77777777" w:rsidR="00343744" w:rsidRPr="005A0475" w:rsidRDefault="00343744" w:rsidP="00772C81">
            <w:pPr>
              <w:spacing w:after="0" w:line="236" w:lineRule="exact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rFonts w:eastAsia="Times New Roman"/>
                <w:szCs w:val="24"/>
                <w:lang w:eastAsia="it-IT"/>
              </w:rPr>
              <w:t>o più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5E04A688" w14:textId="77777777" w:rsidR="00343744" w:rsidRPr="005A0475" w:rsidRDefault="00343744" w:rsidP="00772C81">
            <w:pPr>
              <w:spacing w:after="0" w:line="236" w:lineRule="exact"/>
              <w:jc w:val="center"/>
              <w:rPr>
                <w:rFonts w:eastAsia="Times New Roman"/>
                <w:szCs w:val="24"/>
                <w:lang w:eastAsia="it-IT"/>
              </w:rPr>
            </w:pPr>
            <w:r w:rsidRPr="005A0475">
              <w:rPr>
                <w:szCs w:val="24"/>
              </w:rPr>
              <w:t>0,76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7375A80A" w14:textId="77777777" w:rsidR="00343744" w:rsidRPr="005A0475" w:rsidRDefault="00343744" w:rsidP="00772C81">
            <w:pPr>
              <w:spacing w:after="0" w:line="236" w:lineRule="exact"/>
              <w:rPr>
                <w:szCs w:val="24"/>
              </w:rPr>
            </w:pPr>
            <w:r w:rsidRPr="005A0475">
              <w:rPr>
                <w:szCs w:val="24"/>
              </w:rPr>
              <w:t>399,07</w:t>
            </w:r>
          </w:p>
        </w:tc>
        <w:tc>
          <w:tcPr>
            <w:tcW w:w="7535" w:type="dxa"/>
            <w:vMerge/>
            <w:shd w:val="clear" w:color="auto" w:fill="D9E2F3"/>
          </w:tcPr>
          <w:p w14:paraId="03BC7269" w14:textId="77777777" w:rsidR="00343744" w:rsidRPr="005A0475" w:rsidRDefault="00343744" w:rsidP="00772C81">
            <w:pPr>
              <w:spacing w:after="0" w:line="236" w:lineRule="exact"/>
              <w:rPr>
                <w:rFonts w:eastAsia="Times New Roman" w:cs="Times"/>
                <w:b/>
                <w:bCs/>
                <w:color w:val="7030A0"/>
                <w:szCs w:val="24"/>
                <w:lang w:eastAsia="it-IT"/>
              </w:rPr>
            </w:pPr>
          </w:p>
        </w:tc>
      </w:tr>
    </w:tbl>
    <w:p w14:paraId="3739E5A0" w14:textId="77777777" w:rsidR="00C3167A" w:rsidRDefault="00C3167A"/>
    <w:sectPr w:rsidR="00C316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tillium Web">
    <w:altName w:val="Times New Roman"/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num w:numId="1" w16cid:durableId="1816993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744"/>
    <w:rsid w:val="00343744"/>
    <w:rsid w:val="00A846A6"/>
    <w:rsid w:val="00C31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FB0B3"/>
  <w15:chartTrackingRefBased/>
  <w15:docId w15:val="{9892B553-4946-48F4-B146-11EBC979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43744"/>
    <w:pPr>
      <w:jc w:val="both"/>
    </w:pPr>
    <w:rPr>
      <w:rFonts w:ascii="Titillium Web" w:eastAsia="Calibri" w:hAnsi="Titillium Web" w:cs="Times New Roman"/>
      <w:kern w:val="0"/>
      <w:sz w:val="24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2024-05-25T08:14:00Z</dcterms:created>
  <dcterms:modified xsi:type="dcterms:W3CDTF">2024-05-25T08:16:00Z</dcterms:modified>
</cp:coreProperties>
</file>